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68" w:rsidRDefault="00274568" w:rsidP="00274568">
      <w:pPr>
        <w:pStyle w:val="a4"/>
        <w:shd w:val="clear" w:color="auto" w:fill="FFFFFF"/>
        <w:spacing w:before="192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Питание пожилых людей.</w:t>
      </w:r>
    </w:p>
    <w:p w:rsidR="00274568" w:rsidRDefault="00274568" w:rsidP="00274568">
      <w:pPr>
        <w:pStyle w:val="a4"/>
        <w:shd w:val="clear" w:color="auto" w:fill="FFFFFF"/>
        <w:spacing w:before="192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Процесс старения — это медленное накопление возрастных изменений, проявляющихся на всех уровнях организма. К числу изменений и причин, формирующих старение, относят: уменьшение суточных энерготрат, снижение окислительно-восстановительных процессов ,а также ослабление функций пищеварительного аппарата — снижение кислотности желудочного сока, нарушения со стороны поджелудочной железы и печени. Изменения в желудочно-кишечном тракте оказывают влияние на переваривание и всасывание пищевых веществ. Снижение кислотности желудочного сока может быть причиной развития дефицита витамина В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>12</w:t>
      </w:r>
      <w:r>
        <w:rPr>
          <w:rFonts w:ascii="Arial" w:hAnsi="Arial" w:cs="Arial"/>
          <w:color w:val="000000"/>
          <w:sz w:val="22"/>
          <w:szCs w:val="22"/>
        </w:rPr>
        <w:t>— заболевания анемией. У пожилых людей отмечается ухудшение усвоения кальция и витамина D, что приводит к истончению и снижению плотности костной ткани — заболеванию остеопорозом.                 В пожилом возрасте снижается эластичность стенок кровеносных сосудов, что приводит к развитию гипертонической болезни.</w:t>
      </w:r>
    </w:p>
    <w:p w:rsidR="00274568" w:rsidRDefault="00274568" w:rsidP="00274568">
      <w:pPr>
        <w:pStyle w:val="a4"/>
        <w:shd w:val="clear" w:color="auto" w:fill="FFFFFF"/>
        <w:spacing w:before="192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При организации питания лиц пожилого возраста необходимо учитывать все изменения, происходящие в организме. Так как возникает необходимость некоторого ограничения количества пищи, особенно за один прием, возникают проблемы с обеспечением рациона биологически активными пищевыми веществами. В питание людей пожилого возраста необходимо включать пищевые вещества, обладающие антисклеротическими и липотропными свойствами. В пищевой рацион необходимо включать продукты, богатые клетчаткой, с целью выведения лишнею холестерина и стимулирования перистальтики кишечника. Большое значение в питании лиц этой категории имеет обогащение рациона кисломолочными продуктами, важнейшей частью которых является молочная кислота, обладающая биологической активностью. Молочная кислота также тормозит развитие гнилостных и некоторых патогенных бактерий. С помощью кисломолочных продуктов возможно ограничить образование в кишечнике гнилостными микробами вредных веществ, участвующих в развитии атеросклероза.</w:t>
      </w:r>
    </w:p>
    <w:p w:rsidR="00274568" w:rsidRDefault="00274568" w:rsidP="00274568">
      <w:pPr>
        <w:pStyle w:val="4"/>
        <w:shd w:val="clear" w:color="auto" w:fill="FFFFFF"/>
        <w:spacing w:before="0" w:after="0"/>
        <w:rPr>
          <w:rFonts w:ascii="Arial" w:hAnsi="Arial" w:cs="Arial"/>
          <w:color w:val="006666"/>
          <w:sz w:val="22"/>
          <w:szCs w:val="22"/>
        </w:rPr>
      </w:pPr>
      <w:r>
        <w:rPr>
          <w:rFonts w:ascii="Arial" w:hAnsi="Arial" w:cs="Arial"/>
          <w:color w:val="006666"/>
          <w:sz w:val="22"/>
          <w:szCs w:val="22"/>
        </w:rPr>
        <w:t xml:space="preserve">                              </w:t>
      </w:r>
    </w:p>
    <w:p w:rsidR="00274568" w:rsidRDefault="00274568" w:rsidP="00274568">
      <w:pPr>
        <w:pStyle w:val="4"/>
        <w:shd w:val="clear" w:color="auto" w:fill="FFFFFF"/>
        <w:spacing w:before="0" w:after="0"/>
        <w:rPr>
          <w:rFonts w:ascii="Arial" w:hAnsi="Arial" w:cs="Arial"/>
          <w:color w:val="006666"/>
          <w:sz w:val="22"/>
          <w:szCs w:val="22"/>
        </w:rPr>
      </w:pPr>
      <w:r>
        <w:rPr>
          <w:rFonts w:ascii="Arial" w:hAnsi="Arial" w:cs="Arial"/>
          <w:color w:val="006666"/>
          <w:sz w:val="22"/>
          <w:szCs w:val="22"/>
        </w:rPr>
        <w:t xml:space="preserve">                              Потребность в пищевых веществах</w:t>
      </w:r>
    </w:p>
    <w:p w:rsidR="00274568" w:rsidRDefault="00274568" w:rsidP="00274568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hyperlink r:id="rId4" w:tooltip="Белки" w:history="1">
        <w:r>
          <w:rPr>
            <w:rStyle w:val="a3"/>
            <w:rFonts w:ascii="Arial" w:hAnsi="Arial" w:cs="Arial"/>
            <w:b/>
            <w:bCs/>
            <w:color w:val="5A3696"/>
            <w:sz w:val="22"/>
            <w:szCs w:val="22"/>
          </w:rPr>
          <w:t>Белки</w:t>
        </w:r>
      </w:hyperlink>
      <w:r>
        <w:rPr>
          <w:rStyle w:val="a5"/>
          <w:rFonts w:ascii="Arial" w:hAnsi="Arial" w:cs="Arial"/>
          <w:color w:val="000000"/>
          <w:sz w:val="22"/>
          <w:szCs w:val="22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Для людей пожилого возраста в соответствии с физиологическими нормами потребностей в пище (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Arial" w:hAnsi="Arial" w:cs="Arial"/>
            <w:color w:val="000000"/>
            <w:sz w:val="22"/>
            <w:szCs w:val="22"/>
          </w:rPr>
          <w:t>1991 г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.) количество белка для мужчин до 75 лет — </w:t>
      </w:r>
      <w:smartTag w:uri="urn:schemas-microsoft-com:office:smarttags" w:element="metricconverter">
        <w:smartTagPr>
          <w:attr w:name="ProductID" w:val="68 г"/>
        </w:smartTagPr>
        <w:r>
          <w:rPr>
            <w:rFonts w:ascii="Arial" w:hAnsi="Arial" w:cs="Arial"/>
            <w:color w:val="000000"/>
            <w:sz w:val="22"/>
            <w:szCs w:val="22"/>
          </w:rPr>
          <w:t>68 г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, старше 75 лет — </w:t>
      </w:r>
      <w:smartTag w:uri="urn:schemas-microsoft-com:office:smarttags" w:element="metricconverter">
        <w:smartTagPr>
          <w:attr w:name="ProductID" w:val="61 г"/>
        </w:smartTagPr>
        <w:r>
          <w:rPr>
            <w:rFonts w:ascii="Arial" w:hAnsi="Arial" w:cs="Arial"/>
            <w:color w:val="000000"/>
            <w:sz w:val="22"/>
            <w:szCs w:val="22"/>
          </w:rPr>
          <w:t>61 г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в сутки. Для женщин — соответственно 61 и </w:t>
      </w:r>
      <w:smartTag w:uri="urn:schemas-microsoft-com:office:smarttags" w:element="metricconverter">
        <w:smartTagPr>
          <w:attr w:name="ProductID" w:val="55 г"/>
        </w:smartTagPr>
        <w:r>
          <w:rPr>
            <w:rFonts w:ascii="Arial" w:hAnsi="Arial" w:cs="Arial"/>
            <w:color w:val="000000"/>
            <w:sz w:val="22"/>
            <w:szCs w:val="22"/>
          </w:rPr>
          <w:t>55 г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. В пересчете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Arial" w:hAnsi="Arial" w:cs="Arial"/>
            <w:color w:val="000000"/>
            <w:sz w:val="22"/>
            <w:szCs w:val="22"/>
          </w:rPr>
          <w:t>1 кг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массы тела потребность в белке составляет 1-</w:t>
      </w:r>
      <w:smartTag w:uri="urn:schemas-microsoft-com:office:smarttags" w:element="metricconverter">
        <w:smartTagPr>
          <w:attr w:name="ProductID" w:val="1,3 г"/>
        </w:smartTagPr>
        <w:r>
          <w:rPr>
            <w:rFonts w:ascii="Arial" w:hAnsi="Arial" w:cs="Arial"/>
            <w:color w:val="000000"/>
            <w:sz w:val="22"/>
            <w:szCs w:val="22"/>
          </w:rPr>
          <w:t>1,3 г</w:t>
        </w:r>
      </w:smartTag>
      <w:r>
        <w:rPr>
          <w:rFonts w:ascii="Arial" w:hAnsi="Arial" w:cs="Arial"/>
          <w:color w:val="000000"/>
          <w:sz w:val="22"/>
          <w:szCs w:val="22"/>
        </w:rPr>
        <w:t>. Недопустимо включение избыточного количества белка, которое приводит к развитию атеросклероза и напряжению печени и почек.</w:t>
      </w:r>
    </w:p>
    <w:p w:rsidR="00274568" w:rsidRDefault="00274568" w:rsidP="00274568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</w:p>
    <w:p w:rsidR="00274568" w:rsidRDefault="00274568" w:rsidP="00274568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hyperlink r:id="rId5" w:tooltip="Жиры" w:history="1">
        <w:r>
          <w:rPr>
            <w:rStyle w:val="a3"/>
            <w:rFonts w:ascii="Arial" w:hAnsi="Arial" w:cs="Arial"/>
            <w:b/>
            <w:bCs/>
            <w:color w:val="5A3696"/>
            <w:sz w:val="22"/>
            <w:szCs w:val="22"/>
          </w:rPr>
          <w:t>Жиры</w:t>
        </w:r>
      </w:hyperlink>
      <w:r>
        <w:rPr>
          <w:rStyle w:val="a5"/>
          <w:rFonts w:ascii="Arial" w:hAnsi="Arial" w:cs="Arial"/>
          <w:color w:val="000000"/>
          <w:sz w:val="22"/>
          <w:szCs w:val="22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В пищевом рационе лиц пожилого возраста рекомендуются маложирные молочные и рыбные продукты, а также морепродукты.Потребность в жирах людей старшего возраста соответствует 77 и </w:t>
      </w:r>
      <w:smartTag w:uri="urn:schemas-microsoft-com:office:smarttags" w:element="metricconverter">
        <w:smartTagPr>
          <w:attr w:name="ProductID" w:val="65 г"/>
        </w:smartTagPr>
        <w:r>
          <w:rPr>
            <w:rFonts w:ascii="Arial" w:hAnsi="Arial" w:cs="Arial"/>
            <w:color w:val="000000"/>
            <w:sz w:val="22"/>
            <w:szCs w:val="22"/>
          </w:rPr>
          <w:t>65 г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для мужчин и 66 и </w:t>
      </w:r>
      <w:smartTag w:uri="urn:schemas-microsoft-com:office:smarttags" w:element="metricconverter">
        <w:smartTagPr>
          <w:attr w:name="ProductID" w:val="57 г"/>
        </w:smartTagPr>
        <w:r>
          <w:rPr>
            <w:rFonts w:ascii="Arial" w:hAnsi="Arial" w:cs="Arial"/>
            <w:color w:val="000000"/>
            <w:sz w:val="22"/>
            <w:szCs w:val="22"/>
          </w:rPr>
          <w:t>57 г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для женщин. Доля жиров растительного происхождения должна быть не менее 30 % для обеспечения организма полиненасыщенными жирными кислотами. Включение в пищевой рацион олеиновой и линоленовой жирных кислот (оливкового масла, морепродуктов, льняного и конопляного масел) снижает вязкость крови, предупреждает тромбообразование, снижает риск сердечно-сосудистых заболеваний. Из пищевого рациона следует исключать продукты с высоким содержанием жиров.</w:t>
      </w:r>
    </w:p>
    <w:p w:rsidR="00274568" w:rsidRDefault="00274568" w:rsidP="00274568">
      <w:pPr>
        <w:pStyle w:val="a4"/>
        <w:shd w:val="clear" w:color="auto" w:fill="FFFFFF"/>
        <w:spacing w:before="192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</w:p>
    <w:p w:rsidR="00274568" w:rsidRDefault="00274568" w:rsidP="00274568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hyperlink r:id="rId6" w:tooltip="Углеводы" w:history="1">
        <w:r>
          <w:rPr>
            <w:rStyle w:val="a3"/>
            <w:rFonts w:ascii="Arial" w:hAnsi="Arial" w:cs="Arial"/>
            <w:b/>
            <w:bCs/>
            <w:color w:val="5A3696"/>
            <w:sz w:val="22"/>
            <w:szCs w:val="22"/>
          </w:rPr>
          <w:t>Углеводы</w:t>
        </w:r>
      </w:hyperlink>
      <w:r>
        <w:rPr>
          <w:rStyle w:val="a5"/>
          <w:rFonts w:ascii="Arial" w:hAnsi="Arial" w:cs="Arial"/>
          <w:color w:val="000000"/>
          <w:sz w:val="22"/>
          <w:szCs w:val="22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Углеводы, как основной источник энергии, должны составлять 50-55 % от обшей калорийности пищевого рациона. Суточная потребность в углеводах составляет 335 и </w:t>
      </w:r>
      <w:smartTag w:uri="urn:schemas-microsoft-com:office:smarttags" w:element="metricconverter">
        <w:smartTagPr>
          <w:attr w:name="ProductID" w:val="280 г"/>
        </w:smartTagPr>
        <w:r>
          <w:rPr>
            <w:rFonts w:ascii="Arial" w:hAnsi="Arial" w:cs="Arial"/>
            <w:color w:val="000000"/>
            <w:sz w:val="22"/>
            <w:szCs w:val="22"/>
          </w:rPr>
          <w:t>280 г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для мужчин и 284 и </w:t>
      </w:r>
      <w:smartTag w:uri="urn:schemas-microsoft-com:office:smarttags" w:element="metricconverter">
        <w:smartTagPr>
          <w:attr w:name="ProductID" w:val="242 г"/>
        </w:smartTagPr>
        <w:r>
          <w:rPr>
            <w:rFonts w:ascii="Arial" w:hAnsi="Arial" w:cs="Arial"/>
            <w:color w:val="000000"/>
            <w:sz w:val="22"/>
            <w:szCs w:val="22"/>
          </w:rPr>
          <w:t>242 г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для женщин. Доля простых Сахаров у лиц пожилого </w:t>
      </w:r>
      <w:r>
        <w:rPr>
          <w:rFonts w:ascii="Arial" w:hAnsi="Arial" w:cs="Arial"/>
          <w:color w:val="000000"/>
          <w:sz w:val="22"/>
          <w:szCs w:val="22"/>
        </w:rPr>
        <w:lastRenderedPageBreak/>
        <w:t>возраста не должна превышать 10-15 % от общего количества углеводов, так как избыток их приводит к увеличению синтеза холестерина в печени, повышению сахара в крови и к риску онкологических заболеваний. Для лиц этой категории рекомендуется включать в пищевой рацион достаточное количество клетчатки и других сложных углеводов. Достаточное количество пищевых волокон в рационе способствует стимуляции перистальтики кишечника, образованию полезной микрофлоры кишечника, профилактике онкологических заболеваний.</w:t>
      </w:r>
    </w:p>
    <w:p w:rsidR="00274568" w:rsidRDefault="00274568" w:rsidP="00274568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</w:p>
    <w:p w:rsidR="00274568" w:rsidRDefault="00274568" w:rsidP="00274568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hyperlink r:id="rId7" w:tooltip="Витамины" w:history="1">
        <w:r>
          <w:rPr>
            <w:rStyle w:val="a3"/>
            <w:rFonts w:ascii="Arial" w:hAnsi="Arial" w:cs="Arial"/>
            <w:b/>
            <w:bCs/>
            <w:color w:val="5A3696"/>
            <w:sz w:val="22"/>
            <w:szCs w:val="22"/>
          </w:rPr>
          <w:t>Витамины</w:t>
        </w:r>
      </w:hyperlink>
      <w:r>
        <w:rPr>
          <w:rStyle w:val="a5"/>
          <w:rFonts w:ascii="Arial" w:hAnsi="Arial" w:cs="Arial"/>
          <w:color w:val="000000"/>
          <w:sz w:val="22"/>
          <w:szCs w:val="22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В питании лиц пожилого возраста витаминам придается особое значение, особенно тем, которые обладают антисклеротическим, гипотензивным (снижают артериальное давление), липотропным и антиокислительным действием.</w:t>
      </w:r>
    </w:p>
    <w:p w:rsidR="00274568" w:rsidRDefault="00274568" w:rsidP="00274568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Среди этих витаминов можно выделить витамины В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>6</w:t>
      </w:r>
      <w:r>
        <w:rPr>
          <w:rFonts w:ascii="Arial" w:hAnsi="Arial" w:cs="Arial"/>
          <w:color w:val="000000"/>
          <w:sz w:val="22"/>
          <w:szCs w:val="22"/>
        </w:rPr>
        <w:t>, РР, фолиевую кислоту, витамин Е, β-каротин. В пожилом возрасте необходимо постоянно поддерживать физиологический уровень витамина С в организме, так как он повышает окислительно- восстановительные процессы, нормализует обмен веществ, замедляя процессы старения, помогает усвоению железа.В пожилом возрасте часто отмечаются случаи полигиповитаминоза (недостаточность нескольких витаминов).Для восполнения витаминной недостаточности необходимо обеспечить организм сбалансированным питанием, в некоторых случаях рекомендуется использовать витаминные комплексы.</w:t>
      </w:r>
    </w:p>
    <w:p w:rsidR="00274568" w:rsidRDefault="00274568" w:rsidP="00274568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</w:p>
    <w:p w:rsidR="00274568" w:rsidRDefault="00274568" w:rsidP="00274568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Минеральные вещества.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 возрастом в организме человека накапливается большое количество минеральных веществ, особенно солей Са. Они откладываются в стенках кровеносных сосудов, суставах, нарушая их двигательную способность. Наряду с этим в некоторых тканях снижается концентрация минеральных веществ. Часто у пожилых людей отмечается легкая отдача кальция костями.</w:t>
      </w:r>
    </w:p>
    <w:p w:rsidR="00274568" w:rsidRDefault="00274568" w:rsidP="00274568">
      <w:pPr>
        <w:pStyle w:val="a4"/>
        <w:shd w:val="clear" w:color="auto" w:fill="FFFFFF"/>
        <w:spacing w:before="192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При недостаточном поступлении кальция с пищей, при нарушении его усвоения происходит снижение плотности и массы костной ткани, которое приводит к остеопорозу. Потребность в кальции у лиц пожилого возраста составляет 1000 мг в сутки.</w:t>
      </w:r>
    </w:p>
    <w:p w:rsidR="00274568" w:rsidRDefault="00274568" w:rsidP="00274568">
      <w:pPr>
        <w:pStyle w:val="a4"/>
        <w:shd w:val="clear" w:color="auto" w:fill="FFFFFF"/>
        <w:spacing w:before="192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В пожилом возрасте, особенно у женщин, отмечается дефицит железа. В старческом возрасте возможна обезвоживание организма, вызванное недостатком потребления жидкости .</w:t>
      </w:r>
    </w:p>
    <w:p w:rsidR="00274568" w:rsidRDefault="00274568" w:rsidP="00274568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Режим питания.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В связи со снижением функций пищеварительного тракта необходимо придерживаться 4-5-разового приема пиши в строго определенное время, исключать длительные перерывы между приемами пищи.</w:t>
      </w:r>
    </w:p>
    <w:p w:rsidR="00274568" w:rsidRDefault="00274568" w:rsidP="00274568">
      <w:pPr>
        <w:pStyle w:val="a4"/>
        <w:shd w:val="clear" w:color="auto" w:fill="FFFFFF"/>
        <w:spacing w:before="128" w:beforeAutospacing="0" w:after="128" w:afterAutospacing="0" w:line="320" w:lineRule="atLeast"/>
        <w:ind w:left="128" w:right="128" w:firstLine="400"/>
        <w:jc w:val="center"/>
        <w:rPr>
          <w:rFonts w:ascii="Trebuchet MS" w:hAnsi="Trebuchet MS"/>
          <w:color w:val="333333"/>
          <w:sz w:val="26"/>
          <w:szCs w:val="26"/>
        </w:rPr>
      </w:pPr>
    </w:p>
    <w:p w:rsidR="00274568" w:rsidRDefault="00274568" w:rsidP="00274568">
      <w:pPr>
        <w:pStyle w:val="a4"/>
        <w:shd w:val="clear" w:color="auto" w:fill="FFFFFF"/>
        <w:spacing w:before="128" w:beforeAutospacing="0" w:after="128" w:afterAutospacing="0" w:line="320" w:lineRule="atLeast"/>
        <w:ind w:left="128" w:right="128" w:firstLine="400"/>
        <w:jc w:val="center"/>
        <w:rPr>
          <w:rFonts w:ascii="Trebuchet MS" w:hAnsi="Trebuchet MS"/>
          <w:color w:val="333333"/>
          <w:sz w:val="26"/>
          <w:szCs w:val="26"/>
        </w:rPr>
      </w:pPr>
    </w:p>
    <w:p w:rsidR="00274568" w:rsidRDefault="00274568" w:rsidP="00274568">
      <w:pPr>
        <w:pStyle w:val="a4"/>
        <w:shd w:val="clear" w:color="auto" w:fill="FFFFFF"/>
        <w:spacing w:before="128" w:beforeAutospacing="0" w:after="128" w:afterAutospacing="0" w:line="320" w:lineRule="atLeast"/>
        <w:ind w:left="128" w:right="128" w:firstLine="400"/>
        <w:jc w:val="center"/>
        <w:rPr>
          <w:rFonts w:ascii="Trebuchet MS" w:hAnsi="Trebuchet MS"/>
          <w:color w:val="333333"/>
          <w:sz w:val="26"/>
          <w:szCs w:val="26"/>
        </w:rPr>
      </w:pPr>
    </w:p>
    <w:p w:rsidR="00274568" w:rsidRDefault="00274568" w:rsidP="00274568">
      <w:pPr>
        <w:pStyle w:val="a4"/>
        <w:shd w:val="clear" w:color="auto" w:fill="FFFFFF"/>
        <w:spacing w:before="128" w:beforeAutospacing="0" w:after="128" w:afterAutospacing="0" w:line="320" w:lineRule="atLeast"/>
        <w:ind w:left="128" w:right="128" w:firstLine="400"/>
        <w:rPr>
          <w:rFonts w:ascii="Trebuchet MS" w:hAnsi="Trebuchet MS"/>
          <w:color w:val="333333"/>
          <w:sz w:val="26"/>
          <w:szCs w:val="26"/>
        </w:rPr>
      </w:pPr>
    </w:p>
    <w:p w:rsidR="00274568" w:rsidRDefault="00274568" w:rsidP="00274568">
      <w:pPr>
        <w:pStyle w:val="a4"/>
        <w:shd w:val="clear" w:color="auto" w:fill="FFFFFF"/>
        <w:spacing w:before="128" w:beforeAutospacing="0" w:after="128" w:afterAutospacing="0" w:line="320" w:lineRule="atLeast"/>
        <w:ind w:left="128" w:right="128" w:firstLine="400"/>
        <w:rPr>
          <w:rFonts w:ascii="Trebuchet MS" w:hAnsi="Trebuchet MS"/>
          <w:color w:val="333333"/>
          <w:sz w:val="26"/>
          <w:szCs w:val="26"/>
        </w:rPr>
      </w:pPr>
    </w:p>
    <w:p w:rsidR="00274568" w:rsidRDefault="00274568" w:rsidP="00274568">
      <w:pPr>
        <w:pStyle w:val="a4"/>
        <w:shd w:val="clear" w:color="auto" w:fill="FFFFFF"/>
        <w:spacing w:before="128" w:beforeAutospacing="0" w:after="128" w:afterAutospacing="0" w:line="320" w:lineRule="atLeast"/>
        <w:ind w:left="128" w:right="128" w:firstLine="400"/>
        <w:rPr>
          <w:rFonts w:ascii="Trebuchet MS" w:hAnsi="Trebuchet MS"/>
          <w:color w:val="333333"/>
          <w:sz w:val="26"/>
          <w:szCs w:val="26"/>
        </w:rPr>
      </w:pPr>
    </w:p>
    <w:p w:rsidR="00274568" w:rsidRDefault="00274568" w:rsidP="00274568">
      <w:pPr>
        <w:pStyle w:val="a4"/>
        <w:shd w:val="clear" w:color="auto" w:fill="FFFFFF"/>
        <w:spacing w:before="128" w:beforeAutospacing="0" w:after="128" w:afterAutospacing="0" w:line="320" w:lineRule="atLeast"/>
        <w:ind w:left="128" w:right="128" w:firstLine="400"/>
        <w:rPr>
          <w:rFonts w:ascii="Trebuchet MS" w:hAnsi="Trebuchet MS"/>
          <w:color w:val="333333"/>
          <w:sz w:val="26"/>
          <w:szCs w:val="26"/>
        </w:rPr>
      </w:pPr>
    </w:p>
    <w:p w:rsidR="00274568" w:rsidRDefault="00274568" w:rsidP="00274568">
      <w:pPr>
        <w:pStyle w:val="a4"/>
        <w:shd w:val="clear" w:color="auto" w:fill="FFFFFF"/>
        <w:spacing w:before="128" w:beforeAutospacing="0" w:after="128" w:afterAutospacing="0" w:line="320" w:lineRule="atLeast"/>
        <w:ind w:left="128" w:right="128" w:firstLine="400"/>
        <w:rPr>
          <w:rFonts w:ascii="Trebuchet MS" w:hAnsi="Trebuchet MS"/>
          <w:color w:val="333333"/>
          <w:sz w:val="26"/>
          <w:szCs w:val="26"/>
        </w:rPr>
      </w:pPr>
      <w:r>
        <w:rPr>
          <w:rFonts w:ascii="Trebuchet MS" w:hAnsi="Trebuchet MS"/>
          <w:color w:val="333333"/>
          <w:sz w:val="26"/>
          <w:szCs w:val="26"/>
        </w:rPr>
        <w:t>Подготовила: медсестра Н.П. Брагина</w:t>
      </w:r>
    </w:p>
    <w:p w:rsidR="007F436E" w:rsidRDefault="007F436E"/>
    <w:sectPr w:rsidR="007F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4568"/>
    <w:rsid w:val="00274568"/>
    <w:rsid w:val="007F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27456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7456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274568"/>
    <w:rPr>
      <w:color w:val="0000FF"/>
      <w:u w:val="single"/>
    </w:rPr>
  </w:style>
  <w:style w:type="paragraph" w:styleId="a4">
    <w:name w:val="Normal (Web)"/>
    <w:basedOn w:val="a"/>
    <w:semiHidden/>
    <w:unhideWhenUsed/>
    <w:rsid w:val="0027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4568"/>
  </w:style>
  <w:style w:type="character" w:styleId="a5">
    <w:name w:val="Strong"/>
    <w:basedOn w:val="a0"/>
    <w:qFormat/>
    <w:rsid w:val="00274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ndars.ru/college/tovarovedenie/vitaminy-i-mineralnye-veshchestv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ndars.ru/college/tovarovedenie/belki-zhiry-uglevody.html" TargetMode="External"/><Relationship Id="rId5" Type="http://schemas.openxmlformats.org/officeDocument/2006/relationships/hyperlink" Target="http://www.grandars.ru/college/tovarovedenie/belki-zhiry-uglevody.html" TargetMode="External"/><Relationship Id="rId4" Type="http://schemas.openxmlformats.org/officeDocument/2006/relationships/hyperlink" Target="http://www.grandars.ru/college/tovarovedenie/belki-zhiry-uglevod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5268</Characters>
  <Application>Microsoft Office Word</Application>
  <DocSecurity>0</DocSecurity>
  <Lines>43</Lines>
  <Paragraphs>12</Paragraphs>
  <ScaleCrop>false</ScaleCrop>
  <Company>Grizli777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3</cp:revision>
  <dcterms:created xsi:type="dcterms:W3CDTF">2015-11-16T09:39:00Z</dcterms:created>
  <dcterms:modified xsi:type="dcterms:W3CDTF">2015-11-16T09:39:00Z</dcterms:modified>
</cp:coreProperties>
</file>